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DB0F" w14:textId="77777777" w:rsidR="00904781" w:rsidRDefault="004F1F5D">
      <w:pPr>
        <w:tabs>
          <w:tab w:val="left" w:pos="720"/>
          <w:tab w:val="left" w:pos="1440"/>
          <w:tab w:val="left" w:pos="2160"/>
          <w:tab w:val="left" w:pos="2880"/>
          <w:tab w:val="right" w:pos="10466"/>
        </w:tabs>
        <w:spacing w:before="120" w:after="120" w:line="360" w:lineRule="auto"/>
        <w:jc w:val="both"/>
        <w:rPr>
          <w:rFonts w:ascii="Arial" w:eastAsia="Arial" w:hAnsi="Arial" w:cs="Arial"/>
          <w:sz w:val="28"/>
          <w:szCs w:val="28"/>
        </w:rPr>
      </w:pPr>
      <w:r>
        <w:rPr>
          <w:rFonts w:ascii="Arial" w:eastAsia="Arial" w:hAnsi="Arial" w:cs="Arial"/>
          <w:sz w:val="28"/>
          <w:szCs w:val="28"/>
        </w:rPr>
        <w:t>04. Health procedures</w:t>
      </w:r>
      <w:r>
        <w:rPr>
          <w:rFonts w:ascii="Arial" w:eastAsia="Arial" w:hAnsi="Arial" w:cs="Arial"/>
          <w:sz w:val="28"/>
          <w:szCs w:val="28"/>
        </w:rPr>
        <w:tab/>
      </w:r>
      <w:r>
        <w:rPr>
          <w:rFonts w:ascii="Arial" w:eastAsia="Arial" w:hAnsi="Arial" w:cs="Arial"/>
          <w:sz w:val="28"/>
          <w:szCs w:val="28"/>
        </w:rPr>
        <w:tab/>
      </w:r>
    </w:p>
    <w:p w14:paraId="6F86940E" w14:textId="27729204" w:rsidR="00904781" w:rsidRDefault="004F1F5D">
      <w:pPr>
        <w:spacing w:before="120" w:after="120" w:line="360" w:lineRule="auto"/>
        <w:jc w:val="both"/>
        <w:rPr>
          <w:rFonts w:ascii="Arial" w:eastAsia="Arial" w:hAnsi="Arial" w:cs="Arial"/>
        </w:rPr>
      </w:pPr>
      <w:r>
        <w:rPr>
          <w:rFonts w:ascii="Arial" w:eastAsia="Arial" w:hAnsi="Arial" w:cs="Arial"/>
          <w:sz w:val="22"/>
          <w:szCs w:val="22"/>
        </w:rPr>
        <w:t xml:space="preserve">Please note that </w:t>
      </w:r>
      <w:r w:rsidR="00807CF1">
        <w:rPr>
          <w:rFonts w:ascii="Arial" w:eastAsia="Arial" w:hAnsi="Arial" w:cs="Arial"/>
          <w:sz w:val="22"/>
          <w:szCs w:val="22"/>
        </w:rPr>
        <w:t>since</w:t>
      </w:r>
      <w:r>
        <w:rPr>
          <w:rFonts w:ascii="Arial" w:eastAsia="Arial" w:hAnsi="Arial" w:cs="Arial"/>
          <w:sz w:val="22"/>
          <w:szCs w:val="22"/>
        </w:rPr>
        <w:t xml:space="preserve"> the Covid-19 outbreak, tooth brushing in the setting may pose a risk of cross-infection. Please speak to your Oral Health adviser in your local area for clarity</w:t>
      </w:r>
      <w:r>
        <w:rPr>
          <w:rFonts w:ascii="Arial" w:eastAsia="Arial" w:hAnsi="Arial" w:cs="Arial"/>
        </w:rPr>
        <w:t>.</w:t>
      </w:r>
    </w:p>
    <w:p w14:paraId="18EAD37A" w14:textId="77777777" w:rsidR="00904781" w:rsidRDefault="004F1F5D">
      <w:pPr>
        <w:tabs>
          <w:tab w:val="left" w:pos="720"/>
          <w:tab w:val="left" w:pos="1440"/>
          <w:tab w:val="left" w:pos="2160"/>
          <w:tab w:val="left" w:pos="2880"/>
          <w:tab w:val="left" w:pos="3600"/>
          <w:tab w:val="left" w:pos="4245"/>
        </w:tabs>
        <w:spacing w:before="120" w:after="120" w:line="360" w:lineRule="auto"/>
        <w:jc w:val="both"/>
        <w:rPr>
          <w:rFonts w:ascii="Arial" w:eastAsia="Arial" w:hAnsi="Arial" w:cs="Arial"/>
          <w:b/>
          <w:sz w:val="28"/>
          <w:szCs w:val="28"/>
        </w:rPr>
      </w:pPr>
      <w:r>
        <w:rPr>
          <w:rFonts w:ascii="Arial" w:eastAsia="Arial" w:hAnsi="Arial" w:cs="Arial"/>
          <w:b/>
          <w:sz w:val="28"/>
          <w:szCs w:val="28"/>
        </w:rPr>
        <w:t xml:space="preserve">04.6 Oral health </w:t>
      </w:r>
    </w:p>
    <w:p w14:paraId="03BFA280" w14:textId="77777777" w:rsidR="00904781" w:rsidRDefault="004F1F5D">
      <w:pPr>
        <w:spacing w:before="120" w:after="120" w:line="360" w:lineRule="auto"/>
        <w:jc w:val="both"/>
        <w:rPr>
          <w:rFonts w:ascii="Arial" w:eastAsia="Arial" w:hAnsi="Arial" w:cs="Arial"/>
          <w:sz w:val="22"/>
          <w:szCs w:val="22"/>
        </w:rPr>
      </w:pPr>
      <w:r>
        <w:rPr>
          <w:rFonts w:ascii="Arial" w:eastAsia="Arial" w:hAnsi="Arial" w:cs="Arial"/>
          <w:sz w:val="22"/>
          <w:szCs w:val="22"/>
        </w:rPr>
        <w:t>The setting provides care for children and promotes health through promoting oral health and hygiene, encouraging healthy eating, healthy snacks and tooth brushing at home.</w:t>
      </w:r>
    </w:p>
    <w:p w14:paraId="69C9BE4C"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Fresh drinking water </w:t>
      </w:r>
      <w:proofErr w:type="gramStart"/>
      <w:r>
        <w:rPr>
          <w:rFonts w:ascii="Arial" w:eastAsia="Arial" w:hAnsi="Arial" w:cs="Arial"/>
          <w:color w:val="000000"/>
          <w:sz w:val="22"/>
          <w:szCs w:val="22"/>
        </w:rPr>
        <w:t>is available at all times</w:t>
      </w:r>
      <w:proofErr w:type="gramEnd"/>
      <w:r>
        <w:rPr>
          <w:rFonts w:ascii="Arial" w:eastAsia="Arial" w:hAnsi="Arial" w:cs="Arial"/>
          <w:color w:val="000000"/>
          <w:sz w:val="22"/>
          <w:szCs w:val="22"/>
        </w:rPr>
        <w:t xml:space="preserve"> and easily accessible.</w:t>
      </w:r>
    </w:p>
    <w:p w14:paraId="7B96537B" w14:textId="546E8C6C"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Sugary drinks are not served.</w:t>
      </w:r>
      <w:r w:rsidR="00CC7094">
        <w:rPr>
          <w:rFonts w:ascii="Arial" w:eastAsia="Arial" w:hAnsi="Arial" w:cs="Arial"/>
          <w:color w:val="000000"/>
          <w:sz w:val="22"/>
          <w:szCs w:val="22"/>
        </w:rPr>
        <w:t xml:space="preserve">  Parents are encouraged to provide water and milk at home to support their child’s oral health.  Where a child is struggling to drink in the </w:t>
      </w:r>
      <w:proofErr w:type="gramStart"/>
      <w:r w:rsidR="00CC7094">
        <w:rPr>
          <w:rFonts w:ascii="Arial" w:eastAsia="Arial" w:hAnsi="Arial" w:cs="Arial"/>
          <w:color w:val="000000"/>
          <w:sz w:val="22"/>
          <w:szCs w:val="22"/>
        </w:rPr>
        <w:t>setting</w:t>
      </w:r>
      <w:proofErr w:type="gramEnd"/>
      <w:r w:rsidR="00CC7094">
        <w:rPr>
          <w:rFonts w:ascii="Arial" w:eastAsia="Arial" w:hAnsi="Arial" w:cs="Arial"/>
          <w:color w:val="000000"/>
          <w:sz w:val="22"/>
          <w:szCs w:val="22"/>
        </w:rPr>
        <w:t xml:space="preserve"> we do ask the parent to provide squash which will be watered down to provide for their child, but alongside this the parent will be supported to introduce more water into the child’s diet. </w:t>
      </w:r>
    </w:p>
    <w:p w14:paraId="510D88C6"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In partnership with parents, babies are introduced to an open free-flowing cup at 6 months and from 12 months are discouraged from using a bottle.</w:t>
      </w:r>
    </w:p>
    <w:p w14:paraId="0F44EDC6"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Only water and milk are served with morning and afternoon snacks.</w:t>
      </w:r>
    </w:p>
    <w:p w14:paraId="6262703D" w14:textId="1040FD70"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Children are offered healthy nutritious snacks with no added sugar.</w:t>
      </w:r>
      <w:r w:rsidR="00CC7094">
        <w:rPr>
          <w:rFonts w:ascii="Arial" w:eastAsia="Arial" w:hAnsi="Arial" w:cs="Arial"/>
          <w:color w:val="000000"/>
          <w:sz w:val="22"/>
          <w:szCs w:val="22"/>
        </w:rPr>
        <w:t xml:space="preserve">  No dried fruit is offered due to the high sugar content such as raisins or apricots.</w:t>
      </w:r>
    </w:p>
    <w:p w14:paraId="7578AD8C"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Parents are discouraged from sending in confection</w:t>
      </w:r>
      <w:r>
        <w:rPr>
          <w:rFonts w:ascii="Arial" w:eastAsia="Arial" w:hAnsi="Arial" w:cs="Arial"/>
          <w:sz w:val="22"/>
          <w:szCs w:val="22"/>
        </w:rPr>
        <w:t>e</w:t>
      </w:r>
      <w:r>
        <w:rPr>
          <w:rFonts w:ascii="Arial" w:eastAsia="Arial" w:hAnsi="Arial" w:cs="Arial"/>
          <w:color w:val="000000"/>
          <w:sz w:val="22"/>
          <w:szCs w:val="22"/>
        </w:rPr>
        <w:t>ry as a snack or treat</w:t>
      </w:r>
      <w:r>
        <w:rPr>
          <w:rFonts w:ascii="Arial" w:eastAsia="Arial" w:hAnsi="Arial" w:cs="Arial"/>
          <w:sz w:val="22"/>
          <w:szCs w:val="22"/>
        </w:rPr>
        <w:t>, we allow this as a treat for children's birthday if their parents wish to send them in, they then go home with the child for the parents to decide if they wish for their child to have the treat.</w:t>
      </w:r>
    </w:p>
    <w:p w14:paraId="31A6C873" w14:textId="77777777" w:rsidR="00904781" w:rsidRDefault="004F1F5D">
      <w:pPr>
        <w:numPr>
          <w:ilvl w:val="0"/>
          <w:numId w:val="1"/>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Pr>
          <w:rFonts w:ascii="Arial" w:eastAsia="Arial" w:hAnsi="Arial" w:cs="Arial"/>
          <w:color w:val="000000"/>
          <w:sz w:val="22"/>
          <w:szCs w:val="22"/>
        </w:rPr>
        <w:t>Staff follow the Infant &amp; Toddler Forum’s Ten Steps for Healthy Toddlers.</w:t>
      </w:r>
    </w:p>
    <w:p w14:paraId="6664AF87" w14:textId="77777777" w:rsidR="00904781" w:rsidRDefault="004F1F5D">
      <w:pPr>
        <w:pBdr>
          <w:top w:val="nil"/>
          <w:left w:val="nil"/>
          <w:bottom w:val="nil"/>
          <w:right w:val="nil"/>
          <w:between w:val="nil"/>
        </w:pBdr>
        <w:spacing w:before="120" w:after="120" w:line="360" w:lineRule="auto"/>
        <w:jc w:val="both"/>
        <w:rPr>
          <w:rFonts w:ascii="Arial" w:eastAsia="Arial" w:hAnsi="Arial" w:cs="Arial"/>
          <w:b/>
          <w:color w:val="000000"/>
          <w:sz w:val="22"/>
          <w:szCs w:val="22"/>
        </w:rPr>
      </w:pPr>
      <w:r>
        <w:rPr>
          <w:rFonts w:ascii="Arial" w:eastAsia="Arial" w:hAnsi="Arial" w:cs="Arial"/>
          <w:b/>
          <w:sz w:val="22"/>
          <w:szCs w:val="22"/>
        </w:rPr>
        <w:t>WE DO NOT BRUSH CHILDREN’S TEETH AT THE SETTING PARENTS ARE ENCOURAGED TO BRUSH THEIR CHILDREN’S TEETH AT HOME BEFORE THEY ARRIVE.</w:t>
      </w:r>
    </w:p>
    <w:p w14:paraId="3FAEC062" w14:textId="77777777" w:rsidR="00904781" w:rsidRDefault="00904781">
      <w:pPr>
        <w:pBdr>
          <w:top w:val="nil"/>
          <w:left w:val="nil"/>
          <w:bottom w:val="nil"/>
          <w:right w:val="nil"/>
          <w:between w:val="nil"/>
        </w:pBdr>
        <w:spacing w:before="120" w:after="120" w:line="360" w:lineRule="auto"/>
        <w:jc w:val="both"/>
        <w:rPr>
          <w:rFonts w:ascii="Arial" w:eastAsia="Arial" w:hAnsi="Arial" w:cs="Arial"/>
          <w:b/>
          <w:color w:val="000000"/>
          <w:sz w:val="22"/>
          <w:szCs w:val="22"/>
        </w:rPr>
      </w:pPr>
    </w:p>
    <w:p w14:paraId="2E17507C" w14:textId="77777777" w:rsidR="00904781" w:rsidRDefault="004F1F5D">
      <w:pPr>
        <w:pBdr>
          <w:top w:val="nil"/>
          <w:left w:val="nil"/>
          <w:bottom w:val="nil"/>
          <w:right w:val="nil"/>
          <w:between w:val="nil"/>
        </w:pBdr>
        <w:spacing w:before="120" w:after="120" w:line="360" w:lineRule="auto"/>
        <w:jc w:val="both"/>
        <w:rPr>
          <w:rFonts w:ascii="Arial" w:eastAsia="Arial" w:hAnsi="Arial" w:cs="Arial"/>
          <w:b/>
          <w:color w:val="000000"/>
          <w:sz w:val="22"/>
          <w:szCs w:val="22"/>
        </w:rPr>
      </w:pPr>
      <w:r>
        <w:rPr>
          <w:rFonts w:ascii="Arial" w:eastAsia="Arial" w:hAnsi="Arial" w:cs="Arial"/>
          <w:b/>
          <w:color w:val="000000"/>
          <w:sz w:val="22"/>
          <w:szCs w:val="22"/>
        </w:rPr>
        <w:t>Pacifiers/dummies</w:t>
      </w:r>
    </w:p>
    <w:p w14:paraId="4F777991" w14:textId="77777777" w:rsidR="00904781" w:rsidRDefault="004F1F5D">
      <w:pPr>
        <w:numPr>
          <w:ilvl w:val="0"/>
          <w:numId w:val="2"/>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Parents are </w:t>
      </w:r>
      <w:r>
        <w:rPr>
          <w:rFonts w:ascii="Arial" w:eastAsia="Arial" w:hAnsi="Arial" w:cs="Arial"/>
          <w:i/>
          <w:color w:val="000000"/>
          <w:sz w:val="22"/>
          <w:szCs w:val="22"/>
        </w:rPr>
        <w:t>advised</w:t>
      </w:r>
      <w:r>
        <w:rPr>
          <w:rFonts w:ascii="Arial" w:eastAsia="Arial" w:hAnsi="Arial" w:cs="Arial"/>
          <w:color w:val="000000"/>
          <w:sz w:val="22"/>
          <w:szCs w:val="22"/>
        </w:rPr>
        <w:t xml:space="preserve"> to stop using dummies/pacifiers once their child is 12 months old. </w:t>
      </w:r>
    </w:p>
    <w:p w14:paraId="357F8552" w14:textId="77777777" w:rsidR="00904781" w:rsidRDefault="004F1F5D">
      <w:pPr>
        <w:numPr>
          <w:ilvl w:val="0"/>
          <w:numId w:val="2"/>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Dummies that are damaged are disposed of and parents are told that this has happened</w:t>
      </w:r>
    </w:p>
    <w:p w14:paraId="782A65DD" w14:textId="77777777" w:rsidR="00904781" w:rsidRDefault="004F1F5D">
      <w:pPr>
        <w:spacing w:before="120" w:after="120" w:line="360" w:lineRule="auto"/>
        <w:jc w:val="both"/>
        <w:rPr>
          <w:rFonts w:ascii="Arial" w:eastAsia="Arial" w:hAnsi="Arial" w:cs="Arial"/>
          <w:b/>
          <w:sz w:val="22"/>
          <w:szCs w:val="22"/>
        </w:rPr>
      </w:pPr>
      <w:r>
        <w:rPr>
          <w:rFonts w:ascii="Arial" w:eastAsia="Arial" w:hAnsi="Arial" w:cs="Arial"/>
          <w:b/>
          <w:sz w:val="22"/>
          <w:szCs w:val="22"/>
        </w:rPr>
        <w:t>Further guidance</w:t>
      </w:r>
    </w:p>
    <w:p w14:paraId="0D92CFA4" w14:textId="77777777" w:rsidR="00904781" w:rsidRDefault="004F1F5D">
      <w:pPr>
        <w:spacing w:before="120" w:after="120" w:line="360" w:lineRule="auto"/>
        <w:jc w:val="both"/>
        <w:rPr>
          <w:rFonts w:ascii="Arial" w:eastAsia="Arial" w:hAnsi="Arial" w:cs="Arial"/>
          <w:sz w:val="22"/>
          <w:szCs w:val="22"/>
        </w:rPr>
      </w:pPr>
      <w:r>
        <w:rPr>
          <w:rFonts w:ascii="Arial" w:eastAsia="Arial" w:hAnsi="Arial" w:cs="Arial"/>
          <w:sz w:val="22"/>
          <w:szCs w:val="22"/>
        </w:rPr>
        <w:t xml:space="preserve">Infant &amp; Toddler Forum: Ten Steps for Healthy Toddlers </w:t>
      </w:r>
      <w:hyperlink r:id="rId11">
        <w:r>
          <w:rPr>
            <w:rFonts w:ascii="Arial" w:eastAsia="Arial" w:hAnsi="Arial" w:cs="Arial"/>
            <w:color w:val="0000FF"/>
            <w:sz w:val="22"/>
            <w:szCs w:val="22"/>
            <w:u w:val="single"/>
          </w:rPr>
          <w:t>www.infantandtoddlerforum.org/toddlers-to-preschool/healthy-eating/ten-steps-for-healthy-toddlers/</w:t>
        </w:r>
      </w:hyperlink>
    </w:p>
    <w:p w14:paraId="54347FE6" w14:textId="77777777" w:rsidR="00904781" w:rsidRDefault="00904781">
      <w:pPr>
        <w:spacing w:before="120" w:after="120" w:line="360" w:lineRule="auto"/>
        <w:jc w:val="both"/>
        <w:rPr>
          <w:rFonts w:ascii="Arial" w:eastAsia="Arial" w:hAnsi="Arial" w:cs="Arial"/>
          <w:sz w:val="22"/>
          <w:szCs w:val="22"/>
        </w:rPr>
      </w:pPr>
    </w:p>
    <w:p w14:paraId="7D1B72AB" w14:textId="1549370B"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 xml:space="preserve">This policy was adopted by St Petroc’s Early Years </w:t>
      </w:r>
      <w:r w:rsidR="00CC7094">
        <w:rPr>
          <w:rFonts w:ascii="Arial" w:eastAsia="Arial" w:hAnsi="Arial" w:cs="Arial"/>
          <w:b/>
          <w:sz w:val="22"/>
          <w:szCs w:val="22"/>
        </w:rPr>
        <w:t>September</w:t>
      </w:r>
      <w:r>
        <w:rPr>
          <w:rFonts w:ascii="Arial" w:eastAsia="Arial" w:hAnsi="Arial" w:cs="Arial"/>
          <w:b/>
          <w:sz w:val="22"/>
          <w:szCs w:val="22"/>
        </w:rPr>
        <w:t xml:space="preserve"> 202</w:t>
      </w:r>
      <w:r w:rsidR="00CC7094">
        <w:rPr>
          <w:rFonts w:ascii="Arial" w:eastAsia="Arial" w:hAnsi="Arial" w:cs="Arial"/>
          <w:b/>
          <w:sz w:val="22"/>
          <w:szCs w:val="22"/>
        </w:rPr>
        <w:t>3</w:t>
      </w:r>
    </w:p>
    <w:p w14:paraId="210AFB57" w14:textId="7557FADF"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 xml:space="preserve">Review date </w:t>
      </w:r>
      <w:r w:rsidR="00CC7094">
        <w:rPr>
          <w:rFonts w:ascii="Arial" w:eastAsia="Arial" w:hAnsi="Arial" w:cs="Arial"/>
          <w:b/>
          <w:sz w:val="22"/>
          <w:szCs w:val="22"/>
        </w:rPr>
        <w:t>September</w:t>
      </w:r>
      <w:r>
        <w:rPr>
          <w:rFonts w:ascii="Arial" w:eastAsia="Arial" w:hAnsi="Arial" w:cs="Arial"/>
          <w:b/>
          <w:sz w:val="22"/>
          <w:szCs w:val="22"/>
        </w:rPr>
        <w:t xml:space="preserve"> 202</w:t>
      </w:r>
      <w:r w:rsidR="00CC7094">
        <w:rPr>
          <w:rFonts w:ascii="Arial" w:eastAsia="Arial" w:hAnsi="Arial" w:cs="Arial"/>
          <w:b/>
          <w:sz w:val="22"/>
          <w:szCs w:val="22"/>
        </w:rPr>
        <w:t>4</w:t>
      </w:r>
    </w:p>
    <w:p w14:paraId="3D58FDC4" w14:textId="135D85D3"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Signed on behalf of the provider</w:t>
      </w:r>
      <w:r w:rsidR="00CC7094">
        <w:rPr>
          <w:rFonts w:ascii="Arial" w:eastAsia="Arial" w:hAnsi="Arial" w:cs="Arial"/>
          <w:b/>
          <w:sz w:val="22"/>
          <w:szCs w:val="22"/>
        </w:rPr>
        <w:t xml:space="preserve"> Tahira White</w:t>
      </w:r>
      <w:r>
        <w:rPr>
          <w:rFonts w:ascii="Arial" w:eastAsia="Arial" w:hAnsi="Arial" w:cs="Arial"/>
          <w:b/>
          <w:sz w:val="22"/>
          <w:szCs w:val="22"/>
        </w:rPr>
        <w:t xml:space="preserve">…………………Date </w:t>
      </w:r>
      <w:r w:rsidR="00CC7094">
        <w:rPr>
          <w:rFonts w:ascii="Arial" w:eastAsia="Arial" w:hAnsi="Arial" w:cs="Arial"/>
          <w:b/>
          <w:sz w:val="22"/>
          <w:szCs w:val="22"/>
        </w:rPr>
        <w:t>19.09.23</w:t>
      </w:r>
      <w:r>
        <w:rPr>
          <w:rFonts w:ascii="Arial" w:eastAsia="Arial" w:hAnsi="Arial" w:cs="Arial"/>
          <w:b/>
          <w:sz w:val="22"/>
          <w:szCs w:val="22"/>
        </w:rPr>
        <w:t>……</w:t>
      </w:r>
    </w:p>
    <w:p w14:paraId="1A0C14C8" w14:textId="77777777" w:rsidR="00904781" w:rsidRDefault="00904781">
      <w:pPr>
        <w:spacing w:before="120" w:after="120" w:line="360" w:lineRule="auto"/>
        <w:rPr>
          <w:rFonts w:ascii="Arial" w:eastAsia="Arial" w:hAnsi="Arial" w:cs="Arial"/>
          <w:b/>
          <w:sz w:val="22"/>
          <w:szCs w:val="22"/>
        </w:rPr>
      </w:pPr>
    </w:p>
    <w:p w14:paraId="5C86088F" w14:textId="0686309A"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Name of Signatory Dr Julie Smith  Signature……………………….Date</w:t>
      </w:r>
      <w:r w:rsidR="00807CF1">
        <w:rPr>
          <w:rFonts w:ascii="Arial" w:eastAsia="Arial" w:hAnsi="Arial" w:cs="Arial"/>
          <w:b/>
          <w:sz w:val="22"/>
          <w:szCs w:val="22"/>
        </w:rPr>
        <w:t xml:space="preserve"> 19.09.23</w:t>
      </w:r>
      <w:r>
        <w:rPr>
          <w:rFonts w:ascii="Arial" w:eastAsia="Arial" w:hAnsi="Arial" w:cs="Arial"/>
          <w:b/>
          <w:sz w:val="22"/>
          <w:szCs w:val="22"/>
        </w:rPr>
        <w:t xml:space="preserve">………………… </w:t>
      </w:r>
    </w:p>
    <w:p w14:paraId="1D032FDE"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Role of Signatory Dr Juile Smith Owner of St Petroc’s Early Years</w:t>
      </w:r>
    </w:p>
    <w:p w14:paraId="1E5009ED" w14:textId="77777777" w:rsidR="00904781" w:rsidRDefault="00904781">
      <w:pPr>
        <w:spacing w:before="120" w:after="120" w:line="360" w:lineRule="auto"/>
        <w:jc w:val="both"/>
        <w:rPr>
          <w:rFonts w:ascii="Arial" w:eastAsia="Arial" w:hAnsi="Arial" w:cs="Arial"/>
          <w:sz w:val="22"/>
          <w:szCs w:val="22"/>
        </w:rPr>
      </w:pPr>
    </w:p>
    <w:sectPr w:rsidR="0090478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356"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BA40" w14:textId="77777777" w:rsidR="00BD0EBE" w:rsidRDefault="00BD0EBE">
      <w:r>
        <w:separator/>
      </w:r>
    </w:p>
  </w:endnote>
  <w:endnote w:type="continuationSeparator" w:id="0">
    <w:p w14:paraId="3E724647" w14:textId="77777777" w:rsidR="00BD0EBE" w:rsidRDefault="00BD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6B56" w14:textId="77777777" w:rsidR="00904781" w:rsidRDefault="0090478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759B" w14:textId="77777777" w:rsidR="00904781" w:rsidRDefault="00904781">
    <w:pPr>
      <w:pBdr>
        <w:top w:val="nil"/>
        <w:left w:val="nil"/>
        <w:bottom w:val="nil"/>
        <w:right w:val="nil"/>
        <w:between w:val="nil"/>
      </w:pBdr>
      <w:tabs>
        <w:tab w:val="center" w:pos="4513"/>
        <w:tab w:val="right" w:pos="9026"/>
      </w:tabs>
      <w:rPr>
        <w:color w:val="000000"/>
      </w:rPr>
    </w:pPr>
  </w:p>
  <w:p w14:paraId="7B3CB2E4" w14:textId="77777777" w:rsidR="00904781" w:rsidRDefault="004F1F5D">
    <w:pPr>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color w:val="808080"/>
        <w:sz w:val="22"/>
        <w:szCs w:val="22"/>
      </w:rPr>
      <w:t>St Petroc’s School</w:t>
    </w:r>
    <w:r>
      <w:rPr>
        <w:rFonts w:ascii="Calibri" w:eastAsia="Calibri" w:hAnsi="Calibri" w:cs="Calibri"/>
        <w:b/>
        <w:color w:val="8C1A3D"/>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808080"/>
        <w:sz w:val="22"/>
        <w:szCs w:val="22"/>
      </w:rPr>
      <w:t>Ocean View Road</w:t>
    </w:r>
    <w:r>
      <w:rPr>
        <w:rFonts w:ascii="Calibri" w:eastAsia="Calibri" w:hAnsi="Calibri" w:cs="Calibri"/>
        <w:b/>
        <w:color w:val="808080"/>
        <w:sz w:val="22"/>
        <w:szCs w:val="22"/>
      </w:rPr>
      <w:t xml:space="preserve"> </w:t>
    </w:r>
    <w:r>
      <w:rPr>
        <w:rFonts w:ascii="Calibri" w:eastAsia="Calibri" w:hAnsi="Calibri" w:cs="Calibri"/>
        <w:b/>
        <w:color w:val="8C1A3D"/>
        <w:sz w:val="22"/>
        <w:szCs w:val="22"/>
      </w:rPr>
      <w:t>|</w:t>
    </w:r>
    <w:r>
      <w:rPr>
        <w:rFonts w:ascii="Calibri" w:eastAsia="Calibri" w:hAnsi="Calibri" w:cs="Calibri"/>
        <w:color w:val="000000"/>
        <w:sz w:val="22"/>
        <w:szCs w:val="22"/>
      </w:rPr>
      <w:t xml:space="preserve"> </w:t>
    </w:r>
    <w:r>
      <w:rPr>
        <w:rFonts w:ascii="Calibri" w:eastAsia="Calibri" w:hAnsi="Calibri" w:cs="Calibri"/>
        <w:color w:val="808080"/>
        <w:sz w:val="22"/>
        <w:szCs w:val="22"/>
      </w:rPr>
      <w:t>Bude</w:t>
    </w:r>
    <w:r>
      <w:rPr>
        <w:rFonts w:ascii="Calibri" w:eastAsia="Calibri" w:hAnsi="Calibri" w:cs="Calibri"/>
        <w:b/>
        <w:color w:val="8C1A3D"/>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808080"/>
        <w:sz w:val="22"/>
        <w:szCs w:val="22"/>
      </w:rPr>
      <w:t>EX23 8NJ</w:t>
    </w:r>
  </w:p>
  <w:p w14:paraId="62A7D122" w14:textId="77777777" w:rsidR="00904781" w:rsidRDefault="004F1F5D">
    <w:pPr>
      <w:pBdr>
        <w:top w:val="nil"/>
        <w:left w:val="nil"/>
        <w:bottom w:val="nil"/>
        <w:right w:val="nil"/>
        <w:between w:val="nil"/>
      </w:pBdr>
      <w:jc w:val="center"/>
      <w:rPr>
        <w:rFonts w:ascii="Calibri" w:eastAsia="Calibri" w:hAnsi="Calibri" w:cs="Calibri"/>
        <w:color w:val="8C1A3D"/>
        <w:u w:val="single"/>
      </w:rPr>
    </w:pPr>
    <w:r>
      <w:rPr>
        <w:rFonts w:ascii="Calibri" w:eastAsia="Calibri" w:hAnsi="Calibri" w:cs="Calibri"/>
        <w:color w:val="000000"/>
        <w:sz w:val="22"/>
        <w:szCs w:val="22"/>
      </w:rPr>
      <w:t xml:space="preserve"> </w:t>
    </w:r>
    <w:hyperlink r:id="rId1">
      <w:r>
        <w:rPr>
          <w:rFonts w:ascii="Calibri" w:eastAsia="Calibri" w:hAnsi="Calibri" w:cs="Calibri"/>
          <w:color w:val="8C1A3D"/>
          <w:u w:val="single"/>
        </w:rPr>
        <w:t>www.stpetrocs.com</w:t>
      </w:r>
    </w:hyperlink>
    <w:r>
      <w:rPr>
        <w:rFonts w:ascii="Calibri" w:eastAsia="Calibri" w:hAnsi="Calibri" w:cs="Calibri"/>
        <w:color w:val="8C1A3D"/>
        <w:u w:val="single"/>
      </w:rPr>
      <w:t xml:space="preserve"> </w:t>
    </w:r>
  </w:p>
  <w:p w14:paraId="5B0EEC60" w14:textId="77777777" w:rsidR="00904781" w:rsidRDefault="00000000">
    <w:pPr>
      <w:pBdr>
        <w:top w:val="nil"/>
        <w:left w:val="nil"/>
        <w:bottom w:val="nil"/>
        <w:right w:val="nil"/>
        <w:between w:val="nil"/>
      </w:pBdr>
      <w:jc w:val="center"/>
      <w:rPr>
        <w:rFonts w:ascii="Calibri" w:eastAsia="Calibri" w:hAnsi="Calibri" w:cs="Calibri"/>
        <w:color w:val="000000"/>
        <w:sz w:val="22"/>
        <w:szCs w:val="22"/>
      </w:rPr>
    </w:pPr>
    <w:hyperlink r:id="rId2">
      <w:r w:rsidR="004F1F5D">
        <w:rPr>
          <w:rFonts w:ascii="Calibri" w:eastAsia="Calibri" w:hAnsi="Calibri" w:cs="Calibri"/>
          <w:color w:val="0000FF"/>
          <w:u w:val="single"/>
        </w:rPr>
        <w:t>tahira.white@stpetrocs.com</w:t>
      </w:r>
    </w:hyperlink>
    <w:r w:rsidR="004F1F5D">
      <w:rPr>
        <w:rFonts w:ascii="Calibri" w:eastAsia="Calibri" w:hAnsi="Calibri" w:cs="Calibri"/>
        <w:color w:val="000000"/>
        <w:sz w:val="22"/>
        <w:szCs w:val="22"/>
      </w:rPr>
      <w:t xml:space="preserve"> </w:t>
    </w:r>
  </w:p>
  <w:p w14:paraId="668F15B6" w14:textId="77777777" w:rsidR="00904781" w:rsidRDefault="004F1F5D">
    <w:pPr>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color w:val="808080"/>
        <w:sz w:val="22"/>
        <w:szCs w:val="22"/>
      </w:rPr>
      <w:t>01288 389832</w:t>
    </w:r>
  </w:p>
  <w:p w14:paraId="1A40C41B" w14:textId="77777777" w:rsidR="00904781" w:rsidRDefault="00904781">
    <w:pPr>
      <w:pBdr>
        <w:top w:val="nil"/>
        <w:left w:val="nil"/>
        <w:bottom w:val="nil"/>
        <w:right w:val="nil"/>
        <w:between w:val="nil"/>
      </w:pBdr>
      <w:jc w:val="center"/>
      <w:rPr>
        <w:rFonts w:ascii="Calibri" w:eastAsia="Calibri" w:hAnsi="Calibri" w:cs="Calibri"/>
        <w:color w:val="000000"/>
        <w:sz w:val="22"/>
        <w:szCs w:val="22"/>
      </w:rPr>
    </w:pPr>
  </w:p>
  <w:p w14:paraId="41B0033F" w14:textId="77777777" w:rsidR="00904781" w:rsidRDefault="004F1F5D">
    <w:pPr>
      <w:pBdr>
        <w:top w:val="nil"/>
        <w:left w:val="nil"/>
        <w:bottom w:val="nil"/>
        <w:right w:val="nil"/>
        <w:between w:val="nil"/>
      </w:pBdr>
      <w:tabs>
        <w:tab w:val="center" w:pos="4513"/>
        <w:tab w:val="right" w:pos="9026"/>
      </w:tabs>
      <w:jc w:val="center"/>
      <w:rPr>
        <w:color w:val="000000"/>
      </w:rPr>
    </w:pPr>
    <w:r>
      <w:rPr>
        <w:color w:val="7F7F7F"/>
        <w:sz w:val="16"/>
        <w:szCs w:val="16"/>
      </w:rPr>
      <w:t xml:space="preserve">St </w:t>
    </w:r>
    <w:proofErr w:type="spellStart"/>
    <w:r>
      <w:rPr>
        <w:color w:val="7F7F7F"/>
        <w:sz w:val="16"/>
        <w:szCs w:val="16"/>
      </w:rPr>
      <w:t>Petrocs</w:t>
    </w:r>
    <w:proofErr w:type="spellEnd"/>
    <w:r>
      <w:rPr>
        <w:color w:val="7F7F7F"/>
        <w:sz w:val="16"/>
        <w:szCs w:val="16"/>
      </w:rPr>
      <w:t xml:space="preserve"> School Trust Ltd. Registered No: 884821 Registered Charity Number: 306578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DE4" w14:textId="77777777" w:rsidR="00904781" w:rsidRDefault="0090478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D587" w14:textId="77777777" w:rsidR="00BD0EBE" w:rsidRDefault="00BD0EBE">
      <w:r>
        <w:separator/>
      </w:r>
    </w:p>
  </w:footnote>
  <w:footnote w:type="continuationSeparator" w:id="0">
    <w:p w14:paraId="1C8285C8" w14:textId="77777777" w:rsidR="00BD0EBE" w:rsidRDefault="00BD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BBDA" w14:textId="77777777" w:rsidR="00904781" w:rsidRDefault="0090478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FB3" w14:textId="77777777" w:rsidR="00904781" w:rsidRDefault="004F1F5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B12D34A" wp14:editId="5C407F4B">
          <wp:simplePos x="0" y="0"/>
          <wp:positionH relativeFrom="column">
            <wp:posOffset>5797550</wp:posOffset>
          </wp:positionH>
          <wp:positionV relativeFrom="paragraph">
            <wp:posOffset>-334009</wp:posOffset>
          </wp:positionV>
          <wp:extent cx="848360" cy="600075"/>
          <wp:effectExtent l="0" t="0" r="0" b="0"/>
          <wp:wrapSquare wrapText="bothSides" distT="0" distB="0" distL="114300" distR="114300"/>
          <wp:docPr id="3"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1"/>
                  <a:srcRect/>
                  <a:stretch>
                    <a:fillRect/>
                  </a:stretch>
                </pic:blipFill>
                <pic:spPr>
                  <a:xfrm>
                    <a:off x="0" y="0"/>
                    <a:ext cx="848360" cy="600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90E8" w14:textId="77777777" w:rsidR="00904781" w:rsidRDefault="0090478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5EE4"/>
    <w:multiLevelType w:val="multilevel"/>
    <w:tmpl w:val="30E88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80FBF"/>
    <w:multiLevelType w:val="multilevel"/>
    <w:tmpl w:val="91141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9880123">
    <w:abstractNumId w:val="1"/>
  </w:num>
  <w:num w:numId="2" w16cid:durableId="40260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81"/>
    <w:rsid w:val="00447EE4"/>
    <w:rsid w:val="004F1F5D"/>
    <w:rsid w:val="00807CF1"/>
    <w:rsid w:val="00904781"/>
    <w:rsid w:val="00BD0EBE"/>
    <w:rsid w:val="00CC0275"/>
    <w:rsid w:val="00CC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69C5"/>
  <w15:docId w15:val="{A01AA2FF-8E0A-4BFA-8980-D4E4534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9691B"/>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NoSpacing">
    <w:name w:val="No Spacing"/>
    <w:uiPriority w:val="1"/>
    <w:qFormat/>
    <w:rsid w:val="00CB5E87"/>
    <w:rPr>
      <w:rFonts w:asciiTheme="minorHAnsi" w:eastAsiaTheme="minorHAnsi" w:hAnsiTheme="minorHAnsi" w:cstheme="minorBid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antandtoddlerforum.org/toddlers-to-preschool/healthy-eating/ten-steps-for-healthy-toddl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tahira.white@stpetrocs.com" TargetMode="External"/><Relationship Id="rId1" Type="http://schemas.openxmlformats.org/officeDocument/2006/relationships/hyperlink" Target="http://www.stpetro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t1TWahpWrIdCPp0lClUz5QC2w==">AMUW2mXczXV0hTf+KJ1BGdtLG7d/aMz35XbLCLgCDqIU1sSoudWWfO4+VHQJ8VuNzBcRossat1vnMfS9+wvh4yhIOVdFGp1RqChMM6lWYm2Ac/nxkxKN+oo=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1954C34AF18A5459E57F6A7985F0625" ma:contentTypeVersion="11" ma:contentTypeDescription="Create a new document." ma:contentTypeScope="" ma:versionID="9be281378a49d95a6c7ccee00f0c3b91">
  <xsd:schema xmlns:xsd="http://www.w3.org/2001/XMLSchema" xmlns:xs="http://www.w3.org/2001/XMLSchema" xmlns:p="http://schemas.microsoft.com/office/2006/metadata/properties" xmlns:ns2="0de436db-e3a4-4fce-bbd7-a844f56ed036" targetNamespace="http://schemas.microsoft.com/office/2006/metadata/properties" ma:root="true" ma:fieldsID="5cf1ffe501691ecc8b50af46e4d5caff" ns2:_="">
    <xsd:import namespace="0de436db-e3a4-4fce-bbd7-a844f56ed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36db-e3a4-4fce-bbd7-a844f56e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4AD7E2-DFC9-434D-8949-9CC5831C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436db-e3a4-4fce-bbd7-a844f56e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74B7A-4812-4CAB-8D32-095EC922B965}">
  <ds:schemaRefs>
    <ds:schemaRef ds:uri="http://schemas.microsoft.com/sharepoint/v3/contenttype/forms"/>
  </ds:schemaRefs>
</ds:datastoreItem>
</file>

<file path=customXml/itemProps4.xml><?xml version="1.0" encoding="utf-8"?>
<ds:datastoreItem xmlns:ds="http://schemas.openxmlformats.org/officeDocument/2006/customXml" ds:itemID="{0DC596A8-2000-43C5-BF1A-E9C1369AB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Julie Smith</cp:lastModifiedBy>
  <cp:revision>2</cp:revision>
  <dcterms:created xsi:type="dcterms:W3CDTF">2024-02-02T15:53:00Z</dcterms:created>
  <dcterms:modified xsi:type="dcterms:W3CDTF">2024-02-02T15:53:00Z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0x010100D1954C34AF18A5459E57F6A7985F0625</vt:lpwstr>
  </property>
</Properties>
</file>